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ntTable.xml" ContentType="application/vnd.openxmlformats-officedocument.wordprocessingml.fontTable+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rPr/>
      </w:pPr>
      <w:r>
        <w:t xml:space="preserve"> </w:t>
      </w:r>
    </w:p>
    <w:p>
      <w:pPr>
        <w:pStyle w:val="style0"/>
        <w:jc w:val="center"/>
        <w:rPr/>
      </w:pPr>
    </w:p>
    <w:p>
      <w:pPr>
        <w:pStyle w:val="style0"/>
        <w:jc w:val="center"/>
        <w:rPr/>
      </w:pPr>
    </w:p>
    <w:p>
      <w:pPr>
        <w:pStyle w:val="style0"/>
        <w:jc w:val="center"/>
        <w:rPr>
          <w:b/>
        </w:rPr>
      </w:pPr>
    </w:p>
    <w:p>
      <w:pPr>
        <w:pStyle w:val="style0"/>
        <w:jc w:val="center"/>
        <w:rPr>
          <w:b/>
        </w:rPr>
      </w:pPr>
    </w:p>
    <w:p>
      <w:pPr>
        <w:pStyle w:val="style0"/>
        <w:jc w:val="center"/>
        <w:rPr>
          <w:b/>
        </w:rPr>
      </w:pPr>
    </w:p>
    <w:p>
      <w:pPr>
        <w:pStyle w:val="style0"/>
        <w:jc w:val="center"/>
        <w:rPr>
          <w:b/>
        </w:rPr>
      </w:pPr>
    </w:p>
    <w:p>
      <w:pPr>
        <w:pStyle w:val="style0"/>
        <w:jc w:val="center"/>
        <w:rPr>
          <w:b/>
        </w:rPr>
      </w:pPr>
    </w:p>
    <w:p>
      <w:pPr>
        <w:pStyle w:val="style0"/>
        <w:jc w:val="center"/>
        <w:rPr>
          <w:b/>
          <w:color w:val="ff0000"/>
        </w:rPr>
      </w:pPr>
      <w:r>
        <w:rPr>
          <w:b/>
        </w:rPr>
        <w:t>Key Metrics</w:t>
      </w:r>
    </w:p>
    <w:p>
      <w:pPr>
        <w:pStyle w:val="style0"/>
        <w:jc w:val="center"/>
        <w:rPr>
          <w:b/>
        </w:rPr>
      </w:pPr>
    </w:p>
    <w:p>
      <w:pPr>
        <w:pStyle w:val="style0"/>
        <w:jc w:val="center"/>
        <w:rPr/>
      </w:pPr>
      <w:r>
        <w:t>Student’s Full Name</w:t>
      </w:r>
    </w:p>
    <w:p>
      <w:pPr>
        <w:pStyle w:val="style0"/>
        <w:jc w:val="center"/>
        <w:rPr/>
      </w:pPr>
      <w:r>
        <w:t>Department &amp; University</w:t>
      </w:r>
    </w:p>
    <w:p>
      <w:pPr>
        <w:pStyle w:val="style0"/>
        <w:jc w:val="center"/>
        <w:rPr/>
      </w:pPr>
      <w:r>
        <w:t>Course Number &amp; Name</w:t>
      </w:r>
    </w:p>
    <w:p>
      <w:pPr>
        <w:pStyle w:val="style0"/>
        <w:jc w:val="center"/>
        <w:rPr/>
      </w:pPr>
      <w:r>
        <w:t>Instructor Name</w:t>
      </w:r>
    </w:p>
    <w:p>
      <w:pPr>
        <w:pStyle w:val="style0"/>
        <w:jc w:val="center"/>
        <w:rPr/>
      </w:pPr>
      <w:r>
        <w:t>Assignment Due Date</w:t>
      </w:r>
    </w:p>
    <w:p>
      <w:pPr>
        <w:pStyle w:val="style0"/>
        <w:rPr/>
      </w:pPr>
      <w:r>
        <w:br w:type="page"/>
      </w:r>
    </w:p>
    <w:p>
      <w:pPr>
        <w:pStyle w:val="style0"/>
        <w:jc w:val="center"/>
        <w:rPr>
          <w:b/>
        </w:rPr>
      </w:pPr>
      <w:r>
        <w:rPr>
          <w:b/>
        </w:rPr>
        <w:t>Key Metrics</w:t>
      </w:r>
    </w:p>
    <w:p>
      <w:pPr>
        <w:pStyle w:val="style0"/>
        <w:rPr/>
      </w:pPr>
      <w:r>
        <w:t>Key metrics are in-depth tools designed to measure the organization's overall performance. They are also known as key performance indicators or key result areas. To have an accurate view of what is going on, all organizations, from NGOs to global businesses, must measure important indicators. Simply glancing at important indicators can provide an overview of an organization that might otherwise need complex data analysis (</w:t>
      </w:r>
      <w:r>
        <w:t>Kriegsmann</w:t>
      </w:r>
      <w:r>
        <w:t xml:space="preserve"> et al., 2020). </w:t>
      </w:r>
    </w:p>
    <w:p>
      <w:pPr>
        <w:pStyle w:val="style0"/>
        <w:rPr/>
      </w:pPr>
      <w:r>
        <w:t>The Social Security Administration has been beneficial to providing economic security for the American people and making sure they are financially stable. The Social Security Administration's (SSA) initiatives have impacted practically every American's life for nearly 70 years. Social Security payments are received by 45.9 million Americans or one out of every six. Nearly one in four households receive income from Social Security. Older people get a large amount, if not all of their income, from Social Security, an increasing trend.</w:t>
      </w:r>
    </w:p>
    <w:p>
      <w:pPr>
        <w:pStyle w:val="style0"/>
        <w:rPr/>
      </w:pPr>
      <w:r>
        <w:t>A single metric cannot measure an efficient social program. Because of this, SSA has come up with several results. The first one is Defining and measuring program eligibility and coverage. Women's labor force participation rates, in particular, have been shifting throughout time. However, the patterns for males between the ages of 55 and 64 and those 65 and older have been very different. As a result of a large drop in involvement among these groups between the 1950s and 1980s, they have been steadily growing in recent years. Not only do employees benefit from Social Security, but so do their wives and survivors (</w:t>
      </w:r>
      <w:r>
        <w:t>Kirsh</w:t>
      </w:r>
      <w:r>
        <w:t xml:space="preserve"> &amp; Joy, 2020). More women than males obtain OASDI </w:t>
      </w:r>
      <w:r>
        <w:t>payments alone based on their personal job history rather than a spouse. Nearly 95% of those 62 and older were qualified.</w:t>
      </w:r>
    </w:p>
    <w:p>
      <w:pPr>
        <w:pStyle w:val="style0"/>
        <w:rPr/>
      </w:pPr>
      <w:r>
        <w:t xml:space="preserve">Benefit Adequacy and Equity Measures. The system has been more beneficial to low-income citizens than other workers. In addition to OASDI and SSI benefits, other family members' income is also used to measure poverty levels. Like in 1998, 8.4 percent of OASDI recipients 65 and older lived in poverty in 2001. There was no significant change in 2001 in those between 18-64 years of age bracket. There was, however, a drop of 5% for children who were benefiting from SSA's payments. However, even if the poverty rate for older beneficiaries is lower than for younger ones, older beneficiaries are still more likely to be poor (Brown, 2020). </w:t>
      </w:r>
    </w:p>
    <w:p>
      <w:pPr>
        <w:pStyle w:val="style0"/>
        <w:rPr/>
      </w:pPr>
      <w:r>
        <w:t>Private Retirement Planning. A little more than half of today's workers are covered by a pension plan. As defined contribution plans gain popularity, they provide the possibility for larger rewards. Many people, however, do not have enough private savings to supplement their Social Security benefits. Interest, dividends, and periodic withdrawals from assets can provide income in retirement. A home, for example, provides services until its value is returned when it is sold. Asset income is mostly derived from financial assets, although the value of one's house is the most important component of most people's assets. Here are measures of financial assets and net worth, which include the value of the primary house and other property and companies. In 2001, the median family financial assets and net worth for married couples aged 65 and over were $80,000 and $274,900, respectively ((</w:t>
      </w:r>
      <w:r>
        <w:t>Kriegsmann</w:t>
      </w:r>
      <w:r>
        <w:t xml:space="preserve"> et al., 2020). Nonmarried people aged 65 and up had a median financial asset of $18,000 and a net worth of $91,600.</w:t>
      </w:r>
    </w:p>
    <w:p>
      <w:pPr>
        <w:pStyle w:val="style0"/>
        <w:rPr/>
      </w:pPr>
      <w:r>
        <w:t>These key metrics are both leading and lagging indicators. While examining past performance and numbers, they use the same trends to plan for the future actively. Good key metrics should utilize both indicators to be successful. According to Brown (2020), lagging indicators remind us of the past, while leading indicators take us into the future.</w:t>
      </w:r>
    </w:p>
    <w:p>
      <w:pPr>
        <w:pStyle w:val="style0"/>
        <w:rPr/>
      </w:pPr>
      <w:r>
        <w:t>To come up with great key metrics, the company's chief executives should tell bigger stories that go beyond quarterly earnings. Key metrics should directly support the company's mission, vision, and customer value propositions. Good key metrics should strive to answer the simple "why" question.  Great key metrics should set out SMART targets. To achieve these metrics, all levels of the organization should remain true to the set values.</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ind w:left="0" w:firstLine="0"/>
        <w:rPr/>
      </w:pPr>
    </w:p>
    <w:p>
      <w:pPr>
        <w:pStyle w:val="style0"/>
        <w:jc w:val="center"/>
        <w:rPr>
          <w:b/>
          <w:bCs/>
        </w:rPr>
      </w:pPr>
    </w:p>
    <w:p>
      <w:pPr>
        <w:pStyle w:val="style0"/>
        <w:jc w:val="center"/>
        <w:rPr>
          <w:b/>
          <w:bCs/>
        </w:rPr>
      </w:pPr>
    </w:p>
    <w:bookmarkStart w:id="0" w:name="_GoBack"/>
    <w:bookmarkEnd w:id="0"/>
    <w:p>
      <w:pPr>
        <w:pStyle w:val="style0"/>
        <w:jc w:val="center"/>
        <w:rPr>
          <w:b/>
          <w:bCs/>
        </w:rPr>
      </w:pPr>
      <w:r>
        <w:rPr>
          <w:b/>
          <w:bCs/>
        </w:rPr>
        <w:t>References</w:t>
      </w:r>
    </w:p>
    <w:bookmarkStart w:id="1" w:name="_Hlk82609893"/>
    <w:p>
      <w:pPr>
        <w:pStyle w:val="style0"/>
        <w:ind w:left="1440" w:hanging="720"/>
        <w:rPr>
          <w:color w:val="222222"/>
          <w:shd w:val="clear" w:color="auto" w:fill="ffffff"/>
        </w:rPr>
      </w:pPr>
      <w:r>
        <w:rPr>
          <w:color w:val="222222"/>
          <w:shd w:val="clear" w:color="auto" w:fill="ffffff"/>
        </w:rPr>
        <w:t>Brown, M. G. (2020). </w:t>
      </w:r>
      <w:r>
        <w:rPr>
          <w:i/>
          <w:iCs/>
          <w:color w:val="222222"/>
          <w:shd w:val="clear" w:color="auto" w:fill="ffffff"/>
        </w:rPr>
        <w:t>Keeping score: Using the right metrics to drive world-class performance</w:t>
      </w:r>
      <w:r>
        <w:rPr>
          <w:color w:val="222222"/>
          <w:shd w:val="clear" w:color="auto" w:fill="ffffff"/>
        </w:rPr>
        <w:t>. Productivity Press.</w:t>
      </w:r>
    </w:p>
    <w:p>
      <w:pPr>
        <w:pStyle w:val="style0"/>
        <w:ind w:left="1440" w:hanging="720"/>
        <w:rPr>
          <w:color w:val="222222"/>
          <w:shd w:val="clear" w:color="auto" w:fill="ffffff"/>
        </w:rPr>
      </w:pPr>
      <w:r>
        <w:rPr>
          <w:color w:val="222222"/>
          <w:shd w:val="clear" w:color="auto" w:fill="ffffff"/>
        </w:rPr>
        <w:t>https://www.ssa.gov/policy/docs/ssb/v65n1/v65n1p70.html</w:t>
      </w:r>
    </w:p>
    <w:p>
      <w:pPr>
        <w:pStyle w:val="style0"/>
        <w:ind w:left="1440" w:hanging="720"/>
        <w:rPr>
          <w:color w:val="222222"/>
          <w:shd w:val="clear" w:color="auto" w:fill="ffffff"/>
        </w:rPr>
      </w:pPr>
      <w:r>
        <w:rPr>
          <w:color w:val="222222"/>
          <w:shd w:val="clear" w:color="auto" w:fill="ffffff"/>
        </w:rPr>
        <w:t>Kirsh</w:t>
      </w:r>
      <w:r>
        <w:rPr>
          <w:color w:val="222222"/>
          <w:shd w:val="clear" w:color="auto" w:fill="ffffff"/>
        </w:rPr>
        <w:t>, I., &amp; Joy, M. (2020, June). Splitting the web analytics atom: from page metrics and KPIs to sub-page metrics and KPIs. In </w:t>
      </w:r>
      <w:r>
        <w:rPr>
          <w:i/>
          <w:iCs/>
          <w:color w:val="222222"/>
          <w:shd w:val="clear" w:color="auto" w:fill="ffffff"/>
        </w:rPr>
        <w:t>Proceedings of the 10th International Conference on Web Intelligence, Mining and Semantics</w:t>
      </w:r>
      <w:r>
        <w:rPr>
          <w:color w:val="222222"/>
          <w:shd w:val="clear" w:color="auto" w:fill="ffffff"/>
        </w:rPr>
        <w:t> (pp. 33-43).</w:t>
      </w:r>
    </w:p>
    <w:p>
      <w:pPr>
        <w:pStyle w:val="style0"/>
        <w:ind w:left="1440" w:hanging="720"/>
        <w:rPr>
          <w:color w:val="222222"/>
          <w:shd w:val="clear" w:color="auto" w:fill="ffffff"/>
        </w:rPr>
      </w:pPr>
      <w:r>
        <w:rPr>
          <w:color w:val="222222"/>
          <w:shd w:val="clear" w:color="auto" w:fill="ffffff"/>
        </w:rPr>
        <w:t>Kriegsmann</w:t>
      </w:r>
      <w:r>
        <w:rPr>
          <w:color w:val="222222"/>
          <w:shd w:val="clear" w:color="auto" w:fill="ffffff"/>
        </w:rPr>
        <w:t xml:space="preserve">, K., </w:t>
      </w:r>
      <w:r>
        <w:rPr>
          <w:color w:val="222222"/>
          <w:shd w:val="clear" w:color="auto" w:fill="ffffff"/>
        </w:rPr>
        <w:t>Hundemer</w:t>
      </w:r>
      <w:r>
        <w:rPr>
          <w:color w:val="222222"/>
          <w:shd w:val="clear" w:color="auto" w:fill="ffffff"/>
        </w:rPr>
        <w:t xml:space="preserve">, M., Hofmeister-Mielke, N., Reichert, P., Manta, C. P., </w:t>
      </w:r>
      <w:r>
        <w:rPr>
          <w:color w:val="222222"/>
          <w:shd w:val="clear" w:color="auto" w:fill="ffffff"/>
        </w:rPr>
        <w:t>Awwad</w:t>
      </w:r>
      <w:r>
        <w:rPr>
          <w:color w:val="222222"/>
          <w:shd w:val="clear" w:color="auto" w:fill="ffffff"/>
        </w:rPr>
        <w:t xml:space="preserve">, M. H., ... &amp; </w:t>
      </w:r>
      <w:r>
        <w:rPr>
          <w:color w:val="222222"/>
          <w:shd w:val="clear" w:color="auto" w:fill="ffffff"/>
        </w:rPr>
        <w:t>Huhn</w:t>
      </w:r>
      <w:r>
        <w:rPr>
          <w:color w:val="222222"/>
          <w:shd w:val="clear" w:color="auto" w:fill="ffffff"/>
        </w:rPr>
        <w:t>, S. (2020). Comparison of NGS and MFC methods: key metrics in multiple myeloma MRD assessment. </w:t>
      </w:r>
      <w:r>
        <w:rPr>
          <w:i/>
          <w:iCs/>
          <w:color w:val="222222"/>
          <w:shd w:val="clear" w:color="auto" w:fill="ffffff"/>
        </w:rPr>
        <w:t>Cancers</w:t>
      </w:r>
      <w:r>
        <w:rPr>
          <w:color w:val="222222"/>
          <w:shd w:val="clear" w:color="auto" w:fill="ffffff"/>
        </w:rPr>
        <w:t>, </w:t>
      </w:r>
      <w:r>
        <w:rPr>
          <w:i/>
          <w:iCs/>
          <w:color w:val="222222"/>
          <w:shd w:val="clear" w:color="auto" w:fill="ffffff"/>
        </w:rPr>
        <w:t>12</w:t>
      </w:r>
      <w:r>
        <w:rPr>
          <w:color w:val="222222"/>
          <w:shd w:val="clear" w:color="auto" w:fill="ffffff"/>
        </w:rPr>
        <w:t>(8), 2322.</w:t>
      </w:r>
    </w:p>
    <w:bookmarkEnd w:id="1"/>
    <w:p>
      <w:pPr>
        <w:pStyle w:val="style0"/>
        <w:rPr/>
      </w:pPr>
    </w:p>
    <w:sectPr>
      <w:headerReference w:type="default" r:id="rId2"/>
      <w:pgSz w:w="12240" w:h="15840" w:orient="portrait"/>
      <w:pgMar w:top="1440" w:right="1440" w:bottom="1440" w:left="1440" w:header="72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7020507"/>
    <w:charset w:val="02"/>
    <w:family w:val="roman"/>
    <w:pitch w:val="variable"/>
    <w:sig w:usb0="00000000" w:usb1="10000000" w:usb2="00000000" w:usb3="00000000" w:csb0="80000000" w:csb1="00000000"/>
  </w:font>
  <w:font w:name="Segoe UI">
    <w:altName w:val="Segoe UI"/>
    <w:panose1 w:val="020b0502040002020203"/>
    <w:charset w:val="00"/>
    <w:family w:val="swiss"/>
    <w:pitch w:val="variable"/>
    <w:sig w:usb0="E4002EFF" w:usb1="C000E47F"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DengXian">
    <w:altName w:val="等线"/>
    <w:panose1 w:val="02010600030001010101"/>
    <w:charset w:val="86"/>
    <w:family w:val="auto"/>
    <w:pitch w:val="variable"/>
    <w:sig w:usb0="A00002BF" w:usb1="38CF7CFA" w:usb2="00000016" w:usb3="00000000" w:csb0="0004000F" w:csb1="00000000"/>
  </w:font>
  <w:font w:name="Arial">
    <w:altName w:val="Arial"/>
    <w:panose1 w:val="020b0604020002020204"/>
    <w:charset w:val="00"/>
    <w:family w:val="swiss"/>
    <w:pitch w:val="variable"/>
    <w:sig w:usb0="E0002EFF" w:usb1="C000785B" w:usb2="00000009" w:usb3="00000000" w:csb0="000001FF" w:csb1="00000000"/>
  </w:font>
  <w:font w:name="SimSun">
    <w:altName w:val="宋体"/>
    <w:panose1 w:val="02010600030001010101"/>
    <w:charset w:val="86"/>
    <w:family w:val="auto"/>
    <w:pitch w:val="variable"/>
    <w:sig w:usb0="00000003" w:usb1="288F0000" w:usb2="00000016" w:usb3="00000000" w:csb0="00040001" w:csb1="00000000"/>
  </w:font>
  <w:font w:name="Cambria">
    <w:altName w:val="Cambria"/>
    <w:panose1 w:val="02040503050004030204"/>
    <w:charset w:val="00"/>
    <w:family w:val="roman"/>
    <w:pitch w:val="variable"/>
    <w:sig w:usb0="E00006FF" w:usb1="420024FF" w:usb2="02000000" w:usb3="00000000" w:csb0="0000019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4156"/>
      <w:jc w:val="center"/>
      <w:rPr/>
    </w:pPr>
    <w:r>
      <w:tab/>
    </w:r>
    <w:r>
      <w:tab/>
    </w:r>
    <w:r>
      <w:rPr>
        <w:rFonts w:cs="Calibri"/>
      </w:rPr>
      <w:fldChar w:fldCharType="begin"/>
    </w:r>
    <w:r>
      <w:rPr>
        <w:rFonts w:cs="Calibri"/>
      </w:rPr>
      <w:instrText xml:space="preserve">PAGE </w:instrText>
    </w:r>
    <w:r>
      <w:rPr>
        <w:rFonts w:cs="Calibri"/>
      </w:rPr>
      <w:fldChar w:fldCharType="separate"/>
    </w:r>
    <w:r>
      <w:rPr>
        <w:rFonts w:cs="Calibri"/>
      </w:rPr>
      <w:t>14</w:t>
    </w:r>
    <w:r>
      <w:rPr>
        <w:rFonts w:cs="Calibri"/>
      </w:rPr>
      <w:fldChar w:fldCharType="end"/>
    </w:r>
  </w:p>
  <w:p>
    <w:pPr>
      <w:pStyle w:val="style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AB26620C"/>
    <w:lvl w:ilvl="0" w:tplc="93D26C64">
      <w:start w:val="1"/>
      <w:numFmt w:val="bullet"/>
      <w:lvlText w:val="-"/>
      <w:lvlJc w:val="left"/>
      <w:pPr>
        <w:ind w:left="1080" w:hanging="360"/>
      </w:pPr>
      <w:rPr>
        <w:rFonts w:ascii="Times New Roman" w:cs="Times New Roman" w:eastAsia="Times New Roman" w:hAnsi="Times New Roman" w:hint="default"/>
      </w:rPr>
    </w:lvl>
    <w:lvl w:ilvl="1" w:tplc="04090003" w:tentative="1">
      <w:start w:val="1"/>
      <w:numFmt w:val="bullet"/>
      <w:lvlText w:val="o"/>
      <w:lvlJc w:val="left"/>
      <w:pPr>
        <w:ind w:left="1800" w:hanging="360"/>
      </w:pPr>
      <w:rPr>
        <w:rFonts w:ascii="Courier New" w:cs="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cs="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cs="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ar-S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Times New Roman" w:hAnsi="Times New Roman"/>
        <w:lang w:val="en-US" w:bidi="ar-SA" w:eastAsia="en-US"/>
      </w:rPr>
    </w:rPrDefault>
    <w:pPrDefault>
      <w:pPr>
        <w:spacing w:lineRule="auto" w:line="480"/>
        <w:ind w:left="720" w:firstLine="720"/>
      </w:pPr>
    </w:pPrDefault>
  </w:docDefaults>
  <w:style w:type="paragraph" w:default="1" w:styleId="style0">
    <w:name w:val="Normal"/>
    <w:next w:val="style0"/>
    <w:qFormat/>
    <w:pPr/>
    <w:rPr>
      <w:sz w:val="24"/>
      <w:szCs w:val="24"/>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citation"/>
    <w:basedOn w:val="style65"/>
    <w:next w:val="style4097"/>
    <w:qFormat/>
  </w:style>
  <w:style w:type="character" w:customStyle="1" w:styleId="style4098">
    <w:name w:val="Contrib"/>
    <w:basedOn w:val="style65"/>
    <w:next w:val="style4098"/>
    <w:qFormat/>
  </w:style>
  <w:style w:type="character" w:customStyle="1" w:styleId="style4099">
    <w:name w:val="personal-comm"/>
    <w:basedOn w:val="style65"/>
    <w:next w:val="style4099"/>
    <w:qFormat/>
  </w:style>
  <w:style w:type="character" w:customStyle="1" w:styleId="style4100">
    <w:name w:val="ReferenceBody"/>
    <w:basedOn w:val="style65"/>
    <w:next w:val="style4100"/>
    <w:qFormat/>
  </w:style>
  <w:style w:type="character" w:customStyle="1" w:styleId="style4101">
    <w:name w:val="ContribSection"/>
    <w:basedOn w:val="style65"/>
    <w:next w:val="style4101"/>
    <w:qFormat/>
  </w:style>
  <w:style w:type="character" w:customStyle="1" w:styleId="style4102">
    <w:name w:val="PrimaryContribGroup"/>
    <w:basedOn w:val="style65"/>
    <w:next w:val="style4102"/>
    <w:qFormat/>
  </w:style>
  <w:style w:type="character" w:customStyle="1" w:styleId="style4103">
    <w:name w:val="Person"/>
    <w:basedOn w:val="style65"/>
    <w:next w:val="style4103"/>
    <w:qFormat/>
  </w:style>
  <w:style w:type="character" w:customStyle="1" w:styleId="style4104">
    <w:name w:val="Surname"/>
    <w:basedOn w:val="style65"/>
    <w:next w:val="style4104"/>
    <w:qFormat/>
  </w:style>
  <w:style w:type="character" w:customStyle="1" w:styleId="style4105">
    <w:name w:val="Initials"/>
    <w:basedOn w:val="style65"/>
    <w:next w:val="style4105"/>
    <w:qFormat/>
  </w:style>
  <w:style w:type="character" w:customStyle="1" w:styleId="style4106">
    <w:name w:val="DateSection"/>
    <w:basedOn w:val="style65"/>
    <w:next w:val="style4106"/>
    <w:qFormat/>
  </w:style>
  <w:style w:type="character" w:customStyle="1" w:styleId="style4107">
    <w:name w:val="PublicationDate"/>
    <w:basedOn w:val="style65"/>
    <w:next w:val="style4107"/>
    <w:qFormat/>
  </w:style>
  <w:style w:type="character" w:customStyle="1" w:styleId="style4108">
    <w:name w:val="Date Character"/>
    <w:basedOn w:val="style65"/>
    <w:next w:val="style4108"/>
    <w:qFormat/>
  </w:style>
  <w:style w:type="character" w:customStyle="1" w:styleId="style4109">
    <w:name w:val="Year"/>
    <w:basedOn w:val="style65"/>
    <w:next w:val="style4109"/>
    <w:qFormat/>
  </w:style>
  <w:style w:type="character" w:customStyle="1" w:styleId="style4110">
    <w:name w:val="TitleSection"/>
    <w:basedOn w:val="style65"/>
    <w:next w:val="style4110"/>
    <w:qFormat/>
  </w:style>
  <w:style w:type="character" w:customStyle="1" w:styleId="style4111">
    <w:name w:val="Title Character"/>
    <w:basedOn w:val="style65"/>
    <w:next w:val="style4111"/>
    <w:qFormat/>
  </w:style>
  <w:style w:type="character" w:customStyle="1" w:styleId="style4112">
    <w:name w:val="ReferenceBody_StyledTitle"/>
    <w:basedOn w:val="style65"/>
    <w:next w:val="style4112"/>
    <w:qFormat/>
    <w:rPr>
      <w:i/>
      <w:iCs/>
    </w:rPr>
  </w:style>
  <w:style w:type="character" w:customStyle="1" w:styleId="style4113">
    <w:name w:val="TitleName"/>
    <w:basedOn w:val="style65"/>
    <w:next w:val="style4113"/>
    <w:qFormat/>
  </w:style>
  <w:style w:type="character" w:customStyle="1" w:styleId="style4114">
    <w:name w:val="SourceSection"/>
    <w:basedOn w:val="style65"/>
    <w:next w:val="style4114"/>
    <w:qFormat/>
  </w:style>
  <w:style w:type="character" w:customStyle="1" w:styleId="style4115">
    <w:name w:val="Publisher"/>
    <w:basedOn w:val="style65"/>
    <w:next w:val="style4115"/>
    <w:qFormat/>
  </w:style>
  <w:style w:type="character" w:customStyle="1" w:styleId="style4116">
    <w:name w:val="PublisherLocation"/>
    <w:basedOn w:val="style65"/>
    <w:next w:val="style4116"/>
    <w:qFormat/>
  </w:style>
  <w:style w:type="character" w:customStyle="1" w:styleId="style4117">
    <w:name w:val="PublisherName"/>
    <w:basedOn w:val="style65"/>
    <w:next w:val="style4117"/>
    <w:qFormat/>
  </w:style>
  <w:style w:type="character" w:customStyle="1" w:styleId="style4118">
    <w:name w:val="ReferenceBody_StyledText"/>
    <w:basedOn w:val="style65"/>
    <w:next w:val="style4118"/>
    <w:qFormat/>
    <w:rPr>
      <w:i/>
      <w:iCs/>
    </w:rPr>
  </w:style>
  <w:style w:type="character" w:customStyle="1" w:styleId="style4119">
    <w:name w:val="Series"/>
    <w:basedOn w:val="style65"/>
    <w:next w:val="style4119"/>
    <w:qFormat/>
  </w:style>
  <w:style w:type="character" w:customStyle="1" w:styleId="style4120">
    <w:name w:val="ReferenceBody_StyledVolume"/>
    <w:basedOn w:val="style65"/>
    <w:next w:val="style4120"/>
    <w:qFormat/>
    <w:rPr>
      <w:i/>
      <w:iCs/>
    </w:rPr>
  </w:style>
  <w:style w:type="character" w:customStyle="1" w:styleId="style4121">
    <w:name w:val="Volume"/>
    <w:basedOn w:val="style65"/>
    <w:next w:val="style4121"/>
    <w:qFormat/>
  </w:style>
  <w:style w:type="character" w:customStyle="1" w:styleId="style4122">
    <w:name w:val="Pagination"/>
    <w:basedOn w:val="style65"/>
    <w:next w:val="style4122"/>
    <w:qFormat/>
  </w:style>
  <w:style w:type="character" w:customStyle="1" w:styleId="style4123">
    <w:name w:val="FirstPage"/>
    <w:basedOn w:val="style65"/>
    <w:next w:val="style4123"/>
    <w:qFormat/>
  </w:style>
  <w:style w:type="character" w:customStyle="1" w:styleId="style4124">
    <w:name w:val="LastPage"/>
    <w:basedOn w:val="style65"/>
    <w:next w:val="style4124"/>
    <w:qFormat/>
  </w:style>
  <w:style w:type="character" w:customStyle="1" w:styleId="style4125">
    <w:name w:val="SourceLocation"/>
    <w:basedOn w:val="style65"/>
    <w:next w:val="style4125"/>
    <w:qFormat/>
  </w:style>
  <w:style w:type="character" w:customStyle="1" w:styleId="style4126">
    <w:name w:val="Doi"/>
    <w:basedOn w:val="style65"/>
    <w:next w:val="style4126"/>
    <w:qFormat/>
  </w:style>
  <w:style w:type="character" w:customStyle="1" w:styleId="style4127">
    <w:name w:val="Collab"/>
    <w:basedOn w:val="style65"/>
    <w:next w:val="style4127"/>
    <w:qFormat/>
  </w:style>
  <w:style w:type="character" w:customStyle="1" w:styleId="style4128">
    <w:name w:val="Url"/>
    <w:basedOn w:val="style65"/>
    <w:next w:val="style4128"/>
    <w:qFormat/>
  </w:style>
  <w:style w:type="character" w:customStyle="1" w:styleId="style4129">
    <w:name w:val="ContribHandle"/>
    <w:basedOn w:val="style65"/>
    <w:next w:val="style4129"/>
    <w:qFormat/>
  </w:style>
  <w:style w:type="character" w:customStyle="1" w:styleId="style4130">
    <w:name w:val="Month"/>
    <w:basedOn w:val="style65"/>
    <w:next w:val="style4130"/>
    <w:qFormat/>
  </w:style>
  <w:style w:type="character" w:customStyle="1" w:styleId="style4131">
    <w:name w:val="Day"/>
    <w:basedOn w:val="style65"/>
    <w:next w:val="style4131"/>
    <w:qFormat/>
  </w:style>
  <w:style w:type="character" w:customStyle="1" w:styleId="style4132">
    <w:name w:val="TitleAnnotation"/>
    <w:basedOn w:val="style65"/>
    <w:next w:val="style4132"/>
    <w:qFormat/>
  </w:style>
  <w:style w:type="character" w:customStyle="1" w:styleId="style4133">
    <w:name w:val="Edition"/>
    <w:basedOn w:val="style65"/>
    <w:next w:val="style4133"/>
    <w:qFormat/>
  </w:style>
  <w:style w:type="character" w:customStyle="1" w:styleId="style4134">
    <w:name w:val="SecondaryContribGroup"/>
    <w:basedOn w:val="style65"/>
    <w:next w:val="style4134"/>
    <w:qFormat/>
  </w:style>
  <w:style w:type="character" w:customStyle="1" w:styleId="style4135">
    <w:name w:val="ContribRole"/>
    <w:basedOn w:val="style65"/>
    <w:next w:val="style4135"/>
    <w:qFormat/>
  </w:style>
  <w:style w:type="character" w:customStyle="1" w:styleId="style4136">
    <w:name w:val="Suffix"/>
    <w:basedOn w:val="style65"/>
    <w:next w:val="style4136"/>
    <w:qFormat/>
  </w:style>
  <w:style w:type="character" w:customStyle="1" w:styleId="style4137">
    <w:name w:val="ElocationId"/>
    <w:basedOn w:val="style65"/>
    <w:next w:val="style4137"/>
    <w:qFormat/>
  </w:style>
  <w:style w:type="character" w:styleId="style39">
    <w:name w:val="annotation reference"/>
    <w:basedOn w:val="style65"/>
    <w:next w:val="style39"/>
    <w:qFormat/>
    <w:rPr>
      <w:sz w:val="16"/>
      <w:szCs w:val="16"/>
    </w:rPr>
  </w:style>
  <w:style w:type="character" w:customStyle="1" w:styleId="style4138">
    <w:name w:val="Comment Text Char"/>
    <w:basedOn w:val="style65"/>
    <w:next w:val="style4138"/>
    <w:link w:val="style30"/>
    <w:qFormat/>
  </w:style>
  <w:style w:type="character" w:customStyle="1" w:styleId="style4139">
    <w:name w:val="Comment Subject Char"/>
    <w:basedOn w:val="style4138"/>
    <w:next w:val="style4139"/>
    <w:link w:val="style106"/>
    <w:qFormat/>
    <w:rPr>
      <w:b/>
      <w:bCs/>
    </w:rPr>
  </w:style>
  <w:style w:type="character" w:customStyle="1" w:styleId="style4140">
    <w:name w:val="Balloon Text Char"/>
    <w:basedOn w:val="style65"/>
    <w:next w:val="style4140"/>
    <w:link w:val="style153"/>
    <w:qFormat/>
    <w:rPr>
      <w:rFonts w:ascii="Segoe UI" w:cs="Segoe UI" w:hAnsi="Segoe UI"/>
      <w:sz w:val="18"/>
      <w:szCs w:val="18"/>
    </w:rPr>
  </w:style>
  <w:style w:type="character" w:customStyle="1" w:styleId="style4141">
    <w:name w:val="Header Char_66a3eacd-9027-4297-8169-e56bdf1199c0"/>
    <w:basedOn w:val="style65"/>
    <w:next w:val="style4141"/>
    <w:link w:val="style4156"/>
    <w:qFormat/>
    <w:uiPriority w:val="99"/>
    <w:rPr>
      <w:rFonts w:ascii="Calibri" w:eastAsia="DengXian" w:hAnsi="Calibri"/>
      <w:sz w:val="22"/>
      <w:szCs w:val="22"/>
    </w:rPr>
  </w:style>
  <w:style w:type="character" w:customStyle="1" w:styleId="style4142">
    <w:name w:val="Footer Char_71d1b0d9-75d2-4baf-b4d4-65d8a5d22a5b"/>
    <w:basedOn w:val="style65"/>
    <w:next w:val="style4142"/>
    <w:link w:val="style4157"/>
    <w:qFormat/>
    <w:rPr>
      <w:sz w:val="24"/>
      <w:szCs w:val="24"/>
    </w:rPr>
  </w:style>
  <w:style w:type="character" w:customStyle="1" w:styleId="style4143">
    <w:name w:val="Footnote Text Char"/>
    <w:basedOn w:val="style65"/>
    <w:next w:val="style4143"/>
    <w:link w:val="style4158"/>
    <w:qFormat/>
  </w:style>
  <w:style w:type="character" w:customStyle="1" w:styleId="style4144">
    <w:name w:val="Footnote Characters"/>
    <w:basedOn w:val="style65"/>
    <w:next w:val="style4144"/>
    <w:qFormat/>
    <w:rPr>
      <w:vertAlign w:val="superscript"/>
    </w:rPr>
  </w:style>
  <w:style w:type="character" w:customStyle="1" w:styleId="style4145">
    <w:name w:val="Footnote Anchor"/>
    <w:next w:val="style4145"/>
    <w:rPr>
      <w:vertAlign w:val="superscript"/>
    </w:rPr>
  </w:style>
  <w:style w:type="character" w:customStyle="1" w:styleId="style4146">
    <w:name w:val="Internet Link"/>
    <w:basedOn w:val="style65"/>
    <w:next w:val="style4146"/>
    <w:rPr>
      <w:color w:val="0563c1"/>
      <w:u w:val="single"/>
    </w:rPr>
  </w:style>
  <w:style w:type="character" w:customStyle="1" w:styleId="style4147">
    <w:name w:val="Unresolved Mention1"/>
    <w:basedOn w:val="style65"/>
    <w:next w:val="style4147"/>
    <w:qFormat/>
    <w:uiPriority w:val="99"/>
    <w:rPr>
      <w:color w:val="605e5c"/>
      <w:shd w:val="clear" w:color="auto" w:fill="e1dfdd"/>
    </w:rPr>
  </w:style>
  <w:style w:type="character" w:styleId="style86">
    <w:name w:val="FollowedHyperlink"/>
    <w:basedOn w:val="style65"/>
    <w:next w:val="style86"/>
    <w:qFormat/>
    <w:rPr>
      <w:color w:val="954f72"/>
      <w:u w:val="single"/>
    </w:rPr>
  </w:style>
  <w:style w:type="character" w:customStyle="1" w:styleId="style4148">
    <w:name w:val="ListLabel 1"/>
    <w:next w:val="style4148"/>
    <w:qFormat/>
    <w:rPr>
      <w:rFonts w:cs="Times New Roman" w:eastAsia="Times New Roman"/>
    </w:rPr>
  </w:style>
  <w:style w:type="character" w:customStyle="1" w:styleId="style4149">
    <w:name w:val="ListLabel 2"/>
    <w:next w:val="style4149"/>
    <w:qFormat/>
    <w:rPr>
      <w:rFonts w:cs="Courier New"/>
    </w:rPr>
  </w:style>
  <w:style w:type="character" w:customStyle="1" w:styleId="style4150">
    <w:name w:val="ListLabel 3"/>
    <w:next w:val="style4150"/>
    <w:qFormat/>
    <w:rPr>
      <w:rFonts w:cs="Courier New"/>
    </w:rPr>
  </w:style>
  <w:style w:type="character" w:customStyle="1" w:styleId="style4151">
    <w:name w:val="ListLabel 4"/>
    <w:next w:val="style4151"/>
    <w:qFormat/>
    <w:rPr>
      <w:rFonts w:cs="Courier New"/>
    </w:rPr>
  </w:style>
  <w:style w:type="character" w:customStyle="1" w:styleId="style4152">
    <w:name w:val="ListLabel 5"/>
    <w:next w:val="style4152"/>
    <w:qFormat/>
    <w:rPr>
      <w:rFonts w:ascii="Calibri" w:cs="Calibri" w:hAnsi="Calibri"/>
      <w:sz w:val="22"/>
      <w:szCs w:val="22"/>
    </w:rPr>
  </w:style>
  <w:style w:type="paragraph" w:customStyle="1" w:styleId="style4153">
    <w:name w:val="Heading"/>
    <w:basedOn w:val="style0"/>
    <w:next w:val="style66"/>
    <w:qFormat/>
    <w:pPr>
      <w:keepNext/>
      <w:spacing w:before="240" w:after="120"/>
    </w:pPr>
    <w:rPr>
      <w:rFonts w:ascii="Liberation Sans" w:cs="Lohit Devanagari" w:eastAsia="Noto Sans CJK SC" w:hAnsi="Liberation Sans"/>
      <w:sz w:val="28"/>
      <w:szCs w:val="28"/>
    </w:rPr>
  </w:style>
  <w:style w:type="paragraph" w:styleId="style66">
    <w:name w:val="Body Text"/>
    <w:basedOn w:val="style0"/>
    <w:next w:val="style66"/>
    <w:pPr>
      <w:spacing w:after="140" w:lineRule="auto" w:line="276"/>
    </w:pPr>
    <w:rPr/>
  </w:style>
  <w:style w:type="paragraph" w:styleId="style47">
    <w:name w:val="List"/>
    <w:basedOn w:val="style66"/>
    <w:next w:val="style47"/>
    <w:pPr/>
    <w:rPr>
      <w:rFonts w:cs="Lohit Devanagari"/>
    </w:rPr>
  </w:style>
  <w:style w:type="paragraph" w:customStyle="1" w:styleId="style4154">
    <w:name w:val="Caption1"/>
    <w:basedOn w:val="style0"/>
    <w:next w:val="style4154"/>
    <w:qFormat/>
    <w:pPr>
      <w:suppressLineNumbers/>
      <w:spacing w:before="120" w:after="120"/>
    </w:pPr>
    <w:rPr>
      <w:rFonts w:cs="Lohit Devanagari"/>
      <w:i/>
      <w:iCs/>
    </w:rPr>
  </w:style>
  <w:style w:type="paragraph" w:customStyle="1" w:styleId="style4155">
    <w:name w:val="Index"/>
    <w:basedOn w:val="style0"/>
    <w:next w:val="style4155"/>
    <w:qFormat/>
    <w:pPr>
      <w:suppressLineNumbers/>
    </w:pPr>
    <w:rPr>
      <w:rFonts w:cs="Lohit Devanagari"/>
    </w:rPr>
  </w:style>
  <w:style w:type="paragraph" w:styleId="style76">
    <w:name w:val="Date"/>
    <w:basedOn w:val="style0"/>
    <w:next w:val="style0"/>
    <w:qFormat/>
    <w:pPr/>
  </w:style>
  <w:style w:type="paragraph" w:styleId="style62">
    <w:name w:val="Title"/>
    <w:basedOn w:val="style0"/>
    <w:next w:val="style62"/>
    <w:qFormat/>
    <w:uiPriority w:val="10"/>
    <w:pPr>
      <w:spacing w:before="240" w:after="60"/>
      <w:jc w:val="center"/>
      <w:outlineLvl w:val="0"/>
    </w:pPr>
    <w:rPr>
      <w:rFonts w:ascii="Arial" w:cs="Arial" w:hAnsi="Arial"/>
      <w:b/>
      <w:bCs/>
      <w:kern w:val="2"/>
      <w:sz w:val="32"/>
      <w:szCs w:val="32"/>
    </w:rPr>
  </w:style>
  <w:style w:type="paragraph" w:styleId="style30">
    <w:name w:val="annotation text"/>
    <w:basedOn w:val="style0"/>
    <w:next w:val="style30"/>
    <w:link w:val="style4138"/>
    <w:qFormat/>
    <w:pPr/>
    <w:rPr>
      <w:sz w:val="20"/>
      <w:szCs w:val="20"/>
    </w:rPr>
  </w:style>
  <w:style w:type="paragraph" w:styleId="style106">
    <w:name w:val="annotation subject"/>
    <w:basedOn w:val="style30"/>
    <w:next w:val="style106"/>
    <w:link w:val="style4139"/>
    <w:qFormat/>
    <w:pPr/>
    <w:rPr>
      <w:b/>
      <w:bCs/>
    </w:rPr>
  </w:style>
  <w:style w:type="paragraph" w:styleId="style153">
    <w:name w:val="Balloon Text"/>
    <w:basedOn w:val="style0"/>
    <w:next w:val="style153"/>
    <w:link w:val="style4140"/>
    <w:qFormat/>
    <w:pPr/>
    <w:rPr>
      <w:rFonts w:ascii="Segoe UI" w:cs="Segoe UI" w:hAnsi="Segoe UI"/>
      <w:sz w:val="18"/>
      <w:szCs w:val="18"/>
    </w:rPr>
  </w:style>
  <w:style w:type="paragraph" w:customStyle="1" w:styleId="style4156">
    <w:name w:val="Header1"/>
    <w:basedOn w:val="style0"/>
    <w:next w:val="style4156"/>
    <w:link w:val="style4141"/>
    <w:uiPriority w:val="99"/>
    <w:pPr>
      <w:tabs>
        <w:tab w:val="center" w:leader="none" w:pos="4680"/>
        <w:tab w:val="right" w:leader="none" w:pos="9360"/>
      </w:tabs>
    </w:pPr>
    <w:rPr>
      <w:rFonts w:ascii="Calibri" w:eastAsia="DengXian" w:hAnsi="Calibri"/>
      <w:sz w:val="22"/>
      <w:szCs w:val="22"/>
    </w:rPr>
  </w:style>
  <w:style w:type="paragraph" w:customStyle="1" w:styleId="style4157">
    <w:name w:val="Footer1"/>
    <w:basedOn w:val="style0"/>
    <w:next w:val="style4157"/>
    <w:link w:val="style4142"/>
    <w:pPr>
      <w:tabs>
        <w:tab w:val="center" w:leader="none" w:pos="4680"/>
        <w:tab w:val="right" w:leader="none" w:pos="9360"/>
      </w:tabs>
    </w:pPr>
    <w:rPr/>
  </w:style>
  <w:style w:type="paragraph" w:customStyle="1" w:styleId="style4158">
    <w:name w:val="Footnote Text1"/>
    <w:basedOn w:val="style0"/>
    <w:next w:val="style4158"/>
    <w:link w:val="style4143"/>
    <w:pPr/>
    <w:rPr>
      <w:sz w:val="20"/>
      <w:szCs w:val="20"/>
    </w:rPr>
  </w:style>
  <w:style w:type="paragraph" w:styleId="style178">
    <w:name w:val="Revision"/>
    <w:next w:val="style178"/>
    <w:qFormat/>
    <w:uiPriority w:val="99"/>
    <w:pPr/>
    <w:rPr>
      <w:sz w:val="24"/>
      <w:szCs w:val="24"/>
    </w:rPr>
  </w:style>
  <w:style w:type="paragraph" w:styleId="style31">
    <w:name w:val="header"/>
    <w:basedOn w:val="style0"/>
    <w:next w:val="style31"/>
    <w:link w:val="style4159"/>
    <w:uiPriority w:val="99"/>
    <w:pPr>
      <w:tabs>
        <w:tab w:val="center" w:leader="none" w:pos="4680"/>
        <w:tab w:val="right" w:leader="none" w:pos="9360"/>
      </w:tabs>
    </w:pPr>
    <w:rPr/>
  </w:style>
  <w:style w:type="character" w:customStyle="1" w:styleId="style4159">
    <w:name w:val="Header Char_924726b0-0da0-4b54-b979-a605401ade78"/>
    <w:basedOn w:val="style65"/>
    <w:next w:val="style4159"/>
    <w:link w:val="style31"/>
    <w:uiPriority w:val="99"/>
    <w:rPr>
      <w:sz w:val="24"/>
      <w:szCs w:val="24"/>
    </w:rPr>
  </w:style>
  <w:style w:type="paragraph" w:styleId="style32">
    <w:name w:val="footer"/>
    <w:basedOn w:val="style0"/>
    <w:next w:val="style32"/>
    <w:link w:val="style4160"/>
    <w:uiPriority w:val="99"/>
    <w:pPr>
      <w:tabs>
        <w:tab w:val="center" w:leader="none" w:pos="4680"/>
        <w:tab w:val="right" w:leader="none" w:pos="9360"/>
      </w:tabs>
    </w:pPr>
    <w:rPr/>
  </w:style>
  <w:style w:type="character" w:customStyle="1" w:styleId="style4160">
    <w:name w:val="Footer Char_33aee47b-34df-434c-ac3a-e7cb2c774da2"/>
    <w:basedOn w:val="style65"/>
    <w:next w:val="style4160"/>
    <w:link w:val="style32"/>
    <w:uiPriority w:val="99"/>
    <w:rPr>
      <w:sz w:val="24"/>
      <w:szCs w:val="24"/>
    </w:rPr>
  </w:style>
  <w:style w:type="paragraph" w:styleId="style179">
    <w:name w:val="List Paragraph"/>
    <w:basedOn w:val="style0"/>
    <w:next w:val="style179"/>
    <w:qFormat/>
    <w:uiPriority w:val="34"/>
    <w:pPr/>
  </w:style>
</w:styles>
</file>

<file path=word/_rels/document.xml.rels><?xml version="1.0" encoding="UTF-8"?>
<Relationships xmlns="http://schemas.openxmlformats.org/package/2006/relationships"><Relationship Id="rId2" Type="http://schemas.openxmlformats.org/officeDocument/2006/relationships/header" Target="header1.xml"/><Relationship Id="rId5" Type="http://schemas.openxmlformats.org/officeDocument/2006/relationships/settings" Target="settings.xml"/><Relationship Id="rId4" Type="http://schemas.openxmlformats.org/officeDocument/2006/relationships/fontTable" Target="fontTable.xml"/><Relationship Id="rId3" Type="http://schemas.openxmlformats.org/officeDocument/2006/relationships/styles" Target="styles.xml"/><Relationship Id="rId6" Type="http://schemas.openxmlformats.org/officeDocument/2006/relationships/theme" Target="theme/theme1.xml"/><Relationship Id="rId1" Type="http://schemas.openxmlformats.org/officeDocument/2006/relationships/numbering" Target="numbering.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14F08-8538-4B94-9620-DFBBAD73D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785</Words>
  <Pages>5</Pages>
  <Characters>4215</Characters>
  <Application>WPS Office</Application>
  <DocSecurity>0</DocSecurity>
  <Paragraphs>46</Paragraphs>
  <ScaleCrop>false</ScaleCrop>
  <LinksUpToDate>false</LinksUpToDate>
  <CharactersWithSpaces>4986</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2021-09-15T12:08:00Z</dcterms:created>
  <dc:creator>cynthia koomey</dc:creator>
  <dc:language>en-US</dc:language>
  <lastModifiedBy>SM-N935F</lastModifiedBy>
  <dcterms:modified xsi:type="dcterms:W3CDTF">2021-09-15T12:08:00Z</dcterms:modified>
  <revision>7</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ICV">
    <vt:lpwstr>b5049f9dc5a444338034a0f5371348cd</vt:lpwstr>
  </property>
</Properties>
</file>